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701"/>
        <w:gridCol w:w="1701"/>
        <w:gridCol w:w="284"/>
        <w:gridCol w:w="1672"/>
        <w:gridCol w:w="1517"/>
        <w:gridCol w:w="863"/>
        <w:gridCol w:w="2193"/>
        <w:gridCol w:w="949"/>
      </w:tblGrid>
      <w:tr w:rsidR="0021075D" w:rsidRPr="0021075D" w:rsidTr="0021075D">
        <w:trPr>
          <w:trHeight w:val="255"/>
        </w:trPr>
        <w:tc>
          <w:tcPr>
            <w:tcW w:w="170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Level</w:t>
            </w:r>
          </w:p>
        </w:tc>
        <w:tc>
          <w:tcPr>
            <w:tcW w:w="170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28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3189"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Kabupaten Pelalawan</w:t>
            </w:r>
          </w:p>
        </w:tc>
        <w:tc>
          <w:tcPr>
            <w:tcW w:w="86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219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94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3402"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Komponen</w:t>
            </w:r>
          </w:p>
        </w:tc>
        <w:tc>
          <w:tcPr>
            <w:tcW w:w="28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3189"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B. Kapasitas Pemerintah</w:t>
            </w:r>
          </w:p>
        </w:tc>
        <w:tc>
          <w:tcPr>
            <w:tcW w:w="86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219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94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170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28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67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517"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863"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219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94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3686" w:type="dxa"/>
            <w:gridSpan w:val="3"/>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Isu dalam PGA REDD+</w:t>
            </w:r>
          </w:p>
        </w:tc>
        <w:tc>
          <w:tcPr>
            <w:tcW w:w="6245" w:type="dxa"/>
            <w:gridSpan w:val="4"/>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I. Perencanaan Kehutanan dan Tata Ruang </w:t>
            </w:r>
          </w:p>
        </w:tc>
        <w:tc>
          <w:tcPr>
            <w:tcW w:w="94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345"/>
        </w:trPr>
        <w:tc>
          <w:tcPr>
            <w:tcW w:w="3402"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28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21075D" w:rsidRPr="0021075D" w:rsidTr="0021075D">
        <w:trPr>
          <w:trHeight w:val="255"/>
        </w:trPr>
        <w:tc>
          <w:tcPr>
            <w:tcW w:w="3402"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28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6245" w:type="dxa"/>
            <w:gridSpan w:val="4"/>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94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14"/>
        <w:gridCol w:w="1289"/>
        <w:gridCol w:w="1733"/>
        <w:gridCol w:w="1061"/>
        <w:gridCol w:w="1871"/>
        <w:gridCol w:w="1121"/>
        <w:gridCol w:w="1714"/>
        <w:gridCol w:w="1382"/>
      </w:tblGrid>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BIa1</w:t>
            </w:r>
          </w:p>
        </w:tc>
        <w:tc>
          <w:tcPr>
            <w:tcW w:w="1289" w:type="dxa"/>
            <w:vMerge w:val="restart"/>
            <w:tcBorders>
              <w:top w:val="nil"/>
              <w:left w:val="single" w:sz="4" w:space="0" w:color="auto"/>
              <w:bottom w:val="single" w:sz="4" w:space="0" w:color="000000"/>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Latar belakang Pendidikan formal </w:t>
            </w:r>
          </w:p>
        </w:tc>
        <w:tc>
          <w:tcPr>
            <w:tcW w:w="1733" w:type="dxa"/>
            <w:vMerge w:val="restart"/>
            <w:tcBorders>
              <w:top w:val="nil"/>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Latar belakang pendidikan S2 IPB 1 orang, S1 Kehutanan 1 orang, S1 Pertanian 1 orang, S1 teknik 1 orang, D3 1 orang, SMA/STM 3 orang,  </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3</w:t>
            </w:r>
          </w:p>
        </w:tc>
      </w:tr>
      <w:tr w:rsidR="0021075D" w:rsidRPr="0021075D" w:rsidTr="0021075D">
        <w:trPr>
          <w:trHeight w:val="675"/>
        </w:trPr>
        <w:tc>
          <w:tcPr>
            <w:tcW w:w="714"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PU</w:t>
            </w:r>
          </w:p>
        </w:tc>
        <w:tc>
          <w:tcPr>
            <w:tcW w:w="6088" w:type="dxa"/>
            <w:gridSpan w:val="4"/>
            <w:tcBorders>
              <w:top w:val="single" w:sz="4" w:space="0" w:color="auto"/>
              <w:left w:val="nil"/>
              <w:bottom w:val="single" w:sz="4" w:space="0" w:color="auto"/>
              <w:right w:val="single" w:sz="4" w:space="0" w:color="000000"/>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w:t>
            </w:r>
          </w:p>
        </w:tc>
      </w:tr>
      <w:tr w:rsidR="0021075D" w:rsidRPr="0021075D" w:rsidTr="0021075D">
        <w:trPr>
          <w:trHeight w:val="3525"/>
        </w:trPr>
        <w:tc>
          <w:tcPr>
            <w:tcW w:w="714"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Bappeda</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S2 Perencanaan Pembangunan UGM 1 orang, S1 Planologi 3 orang, Pertanian 2 orang, S1 Sosiologi 1 orang, S1 ekonomi 1 orang. Awalnya ada tenaga teknis seperti geografi, industri, arsitek dan teknik sipil tapi sering terjadi mutasi tanpa sebab yang jelas, akhirnya tenaga teknis yang memahami masalah tata ruang di kabupaten tidak dapat berkontribusi secara optimal. </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4</w:t>
            </w:r>
          </w:p>
        </w:tc>
      </w:tr>
      <w:tr w:rsidR="0021075D" w:rsidRPr="0021075D" w:rsidTr="0021075D">
        <w:trPr>
          <w:trHeight w:val="168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BIa2</w:t>
            </w:r>
          </w:p>
        </w:tc>
        <w:tc>
          <w:tcPr>
            <w:tcW w:w="1289" w:type="dxa"/>
            <w:vMerge w:val="restart"/>
            <w:tcBorders>
              <w:top w:val="nil"/>
              <w:left w:val="single" w:sz="4" w:space="0" w:color="auto"/>
              <w:bottom w:val="single" w:sz="4" w:space="0" w:color="000000"/>
              <w:right w:val="single" w:sz="4" w:space="0" w:color="auto"/>
            </w:tcBorders>
            <w:shd w:val="clear" w:color="auto" w:fill="auto"/>
            <w:hideMark/>
          </w:tcPr>
          <w:p w:rsidR="0021075D" w:rsidRPr="0021075D" w:rsidRDefault="0021075D" w:rsidP="0021075D">
            <w:pPr>
              <w:spacing w:after="24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Lama waktu kerja sebagai perencana </w:t>
            </w:r>
          </w:p>
        </w:tc>
        <w:tc>
          <w:tcPr>
            <w:tcW w:w="1733" w:type="dxa"/>
            <w:vMerge w:val="restart"/>
            <w:tcBorders>
              <w:top w:val="nil"/>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Diperencanaan Kehutanan Kabag menjabat lebih dari 4 tahun. Sedangkan staf di bidang perpetaan sekitar 20 tahun dan SDM lain lebih dari 3 tahun. Cukup memadai ditinjau dari lama </w:t>
            </w:r>
            <w:r w:rsidRPr="0021075D">
              <w:rPr>
                <w:rFonts w:ascii="Times New Roman" w:eastAsia="Times New Roman" w:hAnsi="Times New Roman" w:cs="Times New Roman"/>
                <w:color w:val="000000"/>
                <w:sz w:val="20"/>
                <w:szCs w:val="20"/>
                <w:lang w:eastAsia="id-ID"/>
              </w:rPr>
              <w:lastRenderedPageBreak/>
              <w:t xml:space="preserve">waktu kerja. </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3</w:t>
            </w:r>
          </w:p>
        </w:tc>
      </w:tr>
      <w:tr w:rsidR="0021075D" w:rsidRPr="0021075D" w:rsidTr="0021075D">
        <w:trPr>
          <w:trHeight w:val="675"/>
        </w:trPr>
        <w:tc>
          <w:tcPr>
            <w:tcW w:w="714"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PU</w:t>
            </w:r>
          </w:p>
        </w:tc>
        <w:tc>
          <w:tcPr>
            <w:tcW w:w="6088" w:type="dxa"/>
            <w:gridSpan w:val="4"/>
            <w:tcBorders>
              <w:top w:val="single" w:sz="4" w:space="0" w:color="auto"/>
              <w:left w:val="nil"/>
              <w:bottom w:val="single" w:sz="4" w:space="0" w:color="auto"/>
              <w:right w:val="single" w:sz="4" w:space="0" w:color="000000"/>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w:t>
            </w:r>
          </w:p>
        </w:tc>
      </w:tr>
      <w:tr w:rsidR="0021075D" w:rsidRPr="0021075D" w:rsidTr="0021075D">
        <w:trPr>
          <w:trHeight w:val="765"/>
        </w:trPr>
        <w:tc>
          <w:tcPr>
            <w:tcW w:w="714"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Bappeda</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Lama waktu kerja Kasubid Tata Ruang dan Lingkungan Hidup lebih dari 4 tahun, sejak 2007.  </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3</w:t>
            </w:r>
          </w:p>
        </w:tc>
      </w:tr>
      <w:tr w:rsidR="0021075D" w:rsidRPr="0021075D" w:rsidTr="0021075D">
        <w:trPr>
          <w:trHeight w:val="103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BIa3</w:t>
            </w:r>
          </w:p>
        </w:tc>
        <w:tc>
          <w:tcPr>
            <w:tcW w:w="1289" w:type="dxa"/>
            <w:vMerge w:val="restart"/>
            <w:tcBorders>
              <w:top w:val="nil"/>
              <w:left w:val="single" w:sz="4" w:space="0" w:color="auto"/>
              <w:bottom w:val="single" w:sz="4" w:space="0" w:color="000000"/>
              <w:right w:val="single" w:sz="4" w:space="0" w:color="auto"/>
            </w:tcBorders>
            <w:shd w:val="clear" w:color="auto" w:fill="auto"/>
            <w:hideMark/>
          </w:tcPr>
          <w:p w:rsidR="0021075D" w:rsidRPr="0021075D" w:rsidRDefault="0021075D" w:rsidP="0021075D">
            <w:pPr>
              <w:spacing w:after="24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Sertifikat perencanaan wilayah </w:t>
            </w:r>
          </w:p>
        </w:tc>
        <w:tc>
          <w:tcPr>
            <w:tcW w:w="1733" w:type="dxa"/>
            <w:vMerge w:val="restart"/>
            <w:tcBorders>
              <w:top w:val="nil"/>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Tidak ada yang memiliki sertifikat perencanaan wilayah, semuanya berdasarkan pengalaman kerja </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r>
      <w:tr w:rsidR="0021075D" w:rsidRPr="0021075D" w:rsidTr="0021075D">
        <w:trPr>
          <w:trHeight w:val="675"/>
        </w:trPr>
        <w:tc>
          <w:tcPr>
            <w:tcW w:w="714"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PU</w:t>
            </w:r>
          </w:p>
        </w:tc>
        <w:tc>
          <w:tcPr>
            <w:tcW w:w="6088" w:type="dxa"/>
            <w:gridSpan w:val="4"/>
            <w:tcBorders>
              <w:top w:val="single" w:sz="4" w:space="0" w:color="auto"/>
              <w:left w:val="nil"/>
              <w:bottom w:val="single" w:sz="4" w:space="0" w:color="auto"/>
              <w:right w:val="single" w:sz="4" w:space="0" w:color="000000"/>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w:t>
            </w:r>
          </w:p>
        </w:tc>
      </w:tr>
      <w:tr w:rsidR="0021075D" w:rsidRPr="0021075D" w:rsidTr="0021075D">
        <w:trPr>
          <w:trHeight w:val="645"/>
        </w:trPr>
        <w:tc>
          <w:tcPr>
            <w:tcW w:w="714"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Bappeda</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SDM Bappeda memiliki sertifikat perpetaan dan pengukuran.</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3</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630"/>
        </w:trPr>
        <w:tc>
          <w:tcPr>
            <w:tcW w:w="3736" w:type="dxa"/>
            <w:gridSpan w:val="3"/>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2932"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Kepala SKPD, dan Kepala Bagian Perencanaan</w:t>
            </w: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32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BIb1</w:t>
            </w:r>
          </w:p>
        </w:tc>
        <w:tc>
          <w:tcPr>
            <w:tcW w:w="1289" w:type="dxa"/>
            <w:vMerge w:val="restart"/>
            <w:tcBorders>
              <w:top w:val="nil"/>
              <w:left w:val="single" w:sz="4" w:space="0" w:color="auto"/>
              <w:bottom w:val="single" w:sz="4" w:space="0" w:color="000000"/>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Latar belakang Pendidikan formal </w:t>
            </w:r>
          </w:p>
        </w:tc>
        <w:tc>
          <w:tcPr>
            <w:tcW w:w="1733" w:type="dxa"/>
            <w:vMerge w:val="restart"/>
            <w:tcBorders>
              <w:top w:val="nil"/>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Dokumen yang tersedia tidak menyediakan data sangat mendetail, dokumen kurang tertata.</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Latar belakang pendidikan formal yang rata-rata kehutanan dan S2 kebijakan publik pada jabatan kepala seksi sangat memadai sebagai perencana di bidang kehutanan. Secara mendetail yaitu S2 IPB  5 orang, Geologi ITB 2 orang, SKM 2 orang. Dishut seringkali membantu Bappeda dalam permasalahan tata ruang dan perpetaan sebab meskipun di </w:t>
            </w:r>
            <w:r w:rsidRPr="0021075D">
              <w:rPr>
                <w:rFonts w:ascii="Times New Roman" w:eastAsia="Times New Roman" w:hAnsi="Times New Roman" w:cs="Times New Roman"/>
                <w:color w:val="000000"/>
                <w:sz w:val="20"/>
                <w:szCs w:val="20"/>
                <w:lang w:eastAsia="id-ID"/>
              </w:rPr>
              <w:lastRenderedPageBreak/>
              <w:t xml:space="preserve">Bappeda SDM sudah bersertifikasi tapi pengalaman kurang memadai. </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4</w:t>
            </w:r>
          </w:p>
        </w:tc>
      </w:tr>
      <w:tr w:rsidR="0021075D" w:rsidRPr="0021075D" w:rsidTr="0021075D">
        <w:trPr>
          <w:trHeight w:val="615"/>
        </w:trPr>
        <w:tc>
          <w:tcPr>
            <w:tcW w:w="714"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PU</w:t>
            </w:r>
          </w:p>
        </w:tc>
        <w:tc>
          <w:tcPr>
            <w:tcW w:w="6088" w:type="dxa"/>
            <w:gridSpan w:val="4"/>
            <w:tcBorders>
              <w:top w:val="single" w:sz="4" w:space="0" w:color="auto"/>
              <w:left w:val="nil"/>
              <w:bottom w:val="single" w:sz="4" w:space="0" w:color="auto"/>
              <w:right w:val="single" w:sz="4" w:space="0" w:color="000000"/>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w:t>
            </w:r>
          </w:p>
        </w:tc>
      </w:tr>
      <w:tr w:rsidR="0021075D" w:rsidRPr="0021075D" w:rsidTr="0021075D">
        <w:trPr>
          <w:trHeight w:val="2640"/>
        </w:trPr>
        <w:tc>
          <w:tcPr>
            <w:tcW w:w="714"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Bappeda</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Dengan latar belakangan pendidikan yang ada saat ini Bappeda memiliki SDM yang cukup memadai sebagai perencana tata ruang. Eselon 4 terdiri dari 4 orang berlatar belakang pendidikan S2 Teknik UGM, S2 MPKD UGM, S1 FE dan Komunikasi Unpad dan S1 Teknik UNRI. </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4</w:t>
            </w:r>
          </w:p>
        </w:tc>
      </w:tr>
      <w:tr w:rsidR="0021075D" w:rsidRPr="0021075D" w:rsidTr="0021075D">
        <w:trPr>
          <w:trHeight w:val="31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BIb2</w:t>
            </w:r>
          </w:p>
        </w:tc>
        <w:tc>
          <w:tcPr>
            <w:tcW w:w="1289" w:type="dxa"/>
            <w:vMerge w:val="restart"/>
            <w:tcBorders>
              <w:top w:val="nil"/>
              <w:left w:val="single" w:sz="4" w:space="0" w:color="auto"/>
              <w:bottom w:val="single" w:sz="4" w:space="0" w:color="000000"/>
              <w:right w:val="single" w:sz="4" w:space="0" w:color="auto"/>
            </w:tcBorders>
            <w:shd w:val="clear" w:color="auto" w:fill="auto"/>
            <w:hideMark/>
          </w:tcPr>
          <w:p w:rsidR="0021075D" w:rsidRPr="0021075D" w:rsidRDefault="0021075D" w:rsidP="0021075D">
            <w:pPr>
              <w:spacing w:after="24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Lama waktu kerja sebagai perencana </w:t>
            </w:r>
          </w:p>
        </w:tc>
        <w:tc>
          <w:tcPr>
            <w:tcW w:w="1733" w:type="dxa"/>
            <w:vMerge w:val="restart"/>
            <w:tcBorders>
              <w:top w:val="nil"/>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Pengalaman sebagai perencanan cukup memadai, lebih dari 5 tahun di Planologi. SDM di Dishut kabupaten Pelalawan pada umumnya berasal dari Kanwil Dishut. SDM yang berbasis kehutanan di Dishut Pelalawan sangat kurang, ideal harus berjumlah 15 orang di Planologi dan harus memiliki sertifikat perpetaan. Persoalan yang sangat pelik di Pelalawan adalah batas desa dengan kawasan hutan, </w:t>
            </w:r>
            <w:r w:rsidRPr="0021075D">
              <w:rPr>
                <w:rFonts w:ascii="Times New Roman" w:eastAsia="Times New Roman" w:hAnsi="Times New Roman" w:cs="Times New Roman"/>
                <w:color w:val="000000"/>
                <w:sz w:val="20"/>
                <w:szCs w:val="20"/>
                <w:lang w:eastAsia="id-ID"/>
              </w:rPr>
              <w:lastRenderedPageBreak/>
              <w:t xml:space="preserve">terlebih lagi hutan akasia. </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3</w:t>
            </w:r>
          </w:p>
        </w:tc>
      </w:tr>
      <w:tr w:rsidR="0021075D" w:rsidRPr="0021075D" w:rsidTr="0021075D">
        <w:trPr>
          <w:trHeight w:val="615"/>
        </w:trPr>
        <w:tc>
          <w:tcPr>
            <w:tcW w:w="714"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PU</w:t>
            </w:r>
          </w:p>
        </w:tc>
        <w:tc>
          <w:tcPr>
            <w:tcW w:w="6088" w:type="dxa"/>
            <w:gridSpan w:val="4"/>
            <w:tcBorders>
              <w:top w:val="single" w:sz="4" w:space="0" w:color="auto"/>
              <w:left w:val="nil"/>
              <w:bottom w:val="single" w:sz="4" w:space="0" w:color="auto"/>
              <w:right w:val="single" w:sz="4" w:space="0" w:color="000000"/>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w:t>
            </w:r>
          </w:p>
        </w:tc>
      </w:tr>
      <w:tr w:rsidR="0021075D" w:rsidRPr="0021075D" w:rsidTr="0021075D">
        <w:trPr>
          <w:trHeight w:val="1965"/>
        </w:trPr>
        <w:tc>
          <w:tcPr>
            <w:tcW w:w="714"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Bappeda</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Lama waktu kerja dimaksudkan untuk memahami persoalan yang ada. Mutasi yang cepat seringkali menyulitkan kesinambungan kerja. Kadang orang yang menguasai pekerjaan tiba-tiba harus mutasi dan hal itu menyulitkan daerah.</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2</w:t>
            </w:r>
          </w:p>
        </w:tc>
      </w:tr>
      <w:tr w:rsidR="0021075D" w:rsidRPr="0021075D" w:rsidTr="0021075D">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BIb3</w:t>
            </w:r>
          </w:p>
        </w:tc>
        <w:tc>
          <w:tcPr>
            <w:tcW w:w="1289" w:type="dxa"/>
            <w:vMerge w:val="restart"/>
            <w:tcBorders>
              <w:top w:val="nil"/>
              <w:left w:val="single" w:sz="4" w:space="0" w:color="auto"/>
              <w:bottom w:val="single" w:sz="4" w:space="0" w:color="000000"/>
              <w:right w:val="single" w:sz="4" w:space="0" w:color="auto"/>
            </w:tcBorders>
            <w:shd w:val="clear" w:color="auto" w:fill="auto"/>
            <w:hideMark/>
          </w:tcPr>
          <w:p w:rsidR="0021075D" w:rsidRPr="0021075D" w:rsidRDefault="0021075D" w:rsidP="0021075D">
            <w:pPr>
              <w:spacing w:after="24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Sertifikat perencanaan wilayah </w:t>
            </w:r>
          </w:p>
        </w:tc>
        <w:tc>
          <w:tcPr>
            <w:tcW w:w="1733" w:type="dxa"/>
            <w:vMerge w:val="restart"/>
            <w:tcBorders>
              <w:top w:val="nil"/>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SDM di kehutanan tidak memiliki sertifikat perencanaan hutan</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r>
      <w:tr w:rsidR="0021075D" w:rsidRPr="0021075D" w:rsidTr="0021075D">
        <w:trPr>
          <w:trHeight w:val="600"/>
        </w:trPr>
        <w:tc>
          <w:tcPr>
            <w:tcW w:w="714"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PU</w:t>
            </w:r>
          </w:p>
        </w:tc>
        <w:tc>
          <w:tcPr>
            <w:tcW w:w="6088" w:type="dxa"/>
            <w:gridSpan w:val="4"/>
            <w:tcBorders>
              <w:top w:val="single" w:sz="4" w:space="0" w:color="auto"/>
              <w:left w:val="nil"/>
              <w:bottom w:val="single" w:sz="4" w:space="0" w:color="auto"/>
              <w:right w:val="single" w:sz="4" w:space="0" w:color="000000"/>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w:t>
            </w:r>
          </w:p>
        </w:tc>
      </w:tr>
      <w:tr w:rsidR="0021075D" w:rsidRPr="0021075D" w:rsidTr="0021075D">
        <w:trPr>
          <w:trHeight w:val="1410"/>
        </w:trPr>
        <w:tc>
          <w:tcPr>
            <w:tcW w:w="714"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Bappeda</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SDM Bappeda memiliki sertifikat perpetaan, tapi belum memiliki sertifikat perencanaan. </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3</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3736" w:type="dxa"/>
            <w:gridSpan w:val="3"/>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21075D" w:rsidRPr="0021075D" w:rsidTr="0021075D">
        <w:trPr>
          <w:trHeight w:val="69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single" w:sz="4" w:space="0" w:color="auto"/>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Usulan kegiatan dan DIPA pada tahun yang sama tiga tahun kebelakang,</w:t>
            </w:r>
            <w:r w:rsidRPr="0021075D">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BIc1</w:t>
            </w:r>
          </w:p>
        </w:tc>
        <w:tc>
          <w:tcPr>
            <w:tcW w:w="1289" w:type="dxa"/>
            <w:vMerge w:val="restart"/>
            <w:tcBorders>
              <w:top w:val="nil"/>
              <w:left w:val="single" w:sz="4" w:space="0" w:color="auto"/>
              <w:bottom w:val="single" w:sz="4" w:space="0" w:color="000000"/>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Jumlah dana yang dialokasi-kan dalam DIPA untuk menyu-sun proses perencanaan </w:t>
            </w:r>
            <w:r w:rsidRPr="0021075D">
              <w:rPr>
                <w:rFonts w:ascii="Times New Roman" w:eastAsia="Times New Roman" w:hAnsi="Times New Roman" w:cs="Times New Roman"/>
                <w:color w:val="000000"/>
                <w:sz w:val="20"/>
                <w:szCs w:val="20"/>
                <w:lang w:eastAsia="id-ID"/>
              </w:rPr>
              <w:lastRenderedPageBreak/>
              <w:t xml:space="preserve">tata ruang yang partisipatif </w:t>
            </w:r>
          </w:p>
        </w:tc>
        <w:tc>
          <w:tcPr>
            <w:tcW w:w="1733" w:type="dxa"/>
            <w:vMerge w:val="restart"/>
            <w:tcBorders>
              <w:top w:val="nil"/>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 </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 tidak memiliki alokasi untuk penyusunan perencanaan tata ruang partisipatif</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000000" w:fill="000000"/>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r>
      <w:tr w:rsidR="0021075D" w:rsidRPr="0021075D" w:rsidTr="0021075D">
        <w:trPr>
          <w:trHeight w:val="510"/>
        </w:trPr>
        <w:tc>
          <w:tcPr>
            <w:tcW w:w="714"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Dinas Pertanian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tupoksi dalam dinas pertanian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000000" w:fill="000000"/>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r>
      <w:tr w:rsidR="0021075D" w:rsidRPr="0021075D" w:rsidTr="0021075D">
        <w:trPr>
          <w:trHeight w:val="1095"/>
        </w:trPr>
        <w:tc>
          <w:tcPr>
            <w:tcW w:w="714"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BPN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bersedia diwawancarao meminta untuk koordinasi dengan Kanwil BPN Provinsi Riau</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000000" w:fill="000000"/>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21075D" w:rsidRPr="0021075D" w:rsidTr="0021075D">
        <w:trPr>
          <w:trHeight w:val="67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BId1</w:t>
            </w:r>
          </w:p>
        </w:tc>
        <w:tc>
          <w:tcPr>
            <w:tcW w:w="1289"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Pembagian tugas</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Hingga saat ini belum ada SOP penanganan konflik. </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BId2</w:t>
            </w:r>
          </w:p>
        </w:tc>
        <w:tc>
          <w:tcPr>
            <w:tcW w:w="1289"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Struktur Organisasi </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dapat menjawab karena saat ini jika ada masalah dishut yang menangani, jika mengarah pada tindak kriminal kepolisian turun tangan.</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BId3</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Tahapan pelaksanaan penyelesaian konflik</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Belum bisa menjawab, karena belum ada SOP</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BId4</w:t>
            </w:r>
          </w:p>
        </w:tc>
        <w:tc>
          <w:tcPr>
            <w:tcW w:w="1289"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Keterlibatan masyarakat</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Belum bisa menjawab, karena belum ada SOP</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r>
      <w:tr w:rsidR="0021075D" w:rsidRPr="0021075D" w:rsidTr="0021075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BId5</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Mekanisme pengambilan keputusan</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Belum bisa menjawab, karena belum ada SOP</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r>
      <w:tr w:rsidR="0021075D" w:rsidRPr="0021075D" w:rsidTr="0021075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BId6</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Tata waktu penyelesaian konflik</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Harus ditentukan waktu penyelesaian, tapi jika dilihat dari kenyataan yang ada sekarang, penyelesaian konflik harusnya menjadi tanggung jawab instansi yang mengeluarkan izin, yaitu kemenhut. Daerah hanya menerima imbas dari izin pelepasan.</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r>
      <w:tr w:rsidR="0021075D" w:rsidRPr="0021075D" w:rsidTr="0021075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BId7</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Mekanisme penyampaian informasi proses dan hasil penyelesaian konflik</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Belum bisa menjawab, karena belum ada SOP</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3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BIe1</w:t>
            </w:r>
          </w:p>
        </w:tc>
        <w:tc>
          <w:tcPr>
            <w:tcW w:w="1289" w:type="dxa"/>
            <w:vMerge w:val="restart"/>
            <w:tcBorders>
              <w:top w:val="nil"/>
              <w:left w:val="single" w:sz="4" w:space="0" w:color="auto"/>
              <w:bottom w:val="single" w:sz="4" w:space="0" w:color="000000"/>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w:t>
            </w:r>
          </w:p>
        </w:tc>
        <w:tc>
          <w:tcPr>
            <w:tcW w:w="1733" w:type="dxa"/>
            <w:vMerge w:val="restart"/>
            <w:tcBorders>
              <w:top w:val="nil"/>
              <w:left w:val="single" w:sz="4" w:space="0" w:color="auto"/>
              <w:bottom w:val="single" w:sz="4" w:space="0" w:color="000000"/>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DPRD</w:t>
            </w:r>
          </w:p>
        </w:tc>
        <w:tc>
          <w:tcPr>
            <w:tcW w:w="1871" w:type="dxa"/>
            <w:tcBorders>
              <w:top w:val="nil"/>
              <w:left w:val="nil"/>
              <w:bottom w:val="single" w:sz="4" w:space="0" w:color="auto"/>
              <w:right w:val="single" w:sz="4" w:space="0" w:color="auto"/>
            </w:tcBorders>
            <w:shd w:val="clear" w:color="000000" w:fill="000000"/>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w:t>
            </w:r>
          </w:p>
        </w:tc>
        <w:tc>
          <w:tcPr>
            <w:tcW w:w="1121" w:type="dxa"/>
            <w:tcBorders>
              <w:top w:val="nil"/>
              <w:left w:val="nil"/>
              <w:bottom w:val="single" w:sz="4" w:space="0" w:color="auto"/>
              <w:right w:val="single" w:sz="4" w:space="0" w:color="auto"/>
            </w:tcBorders>
            <w:shd w:val="clear" w:color="000000" w:fill="000000"/>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bersedia diwawancarai</w:t>
            </w:r>
          </w:p>
        </w:tc>
        <w:tc>
          <w:tcPr>
            <w:tcW w:w="1382" w:type="dxa"/>
            <w:tcBorders>
              <w:top w:val="nil"/>
              <w:left w:val="nil"/>
              <w:bottom w:val="single" w:sz="4" w:space="0" w:color="auto"/>
              <w:right w:val="single" w:sz="4" w:space="0" w:color="auto"/>
            </w:tcBorders>
            <w:shd w:val="clear" w:color="000000" w:fill="FFFF00"/>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w:t>
            </w:r>
          </w:p>
        </w:tc>
      </w:tr>
      <w:tr w:rsidR="0021075D" w:rsidRPr="0021075D" w:rsidTr="0021075D">
        <w:trPr>
          <w:trHeight w:val="1530"/>
        </w:trPr>
        <w:tc>
          <w:tcPr>
            <w:tcW w:w="714"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33"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000000" w:fill="000000"/>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121" w:type="dxa"/>
            <w:tcBorders>
              <w:top w:val="nil"/>
              <w:left w:val="nil"/>
              <w:bottom w:val="single" w:sz="4" w:space="0" w:color="auto"/>
              <w:right w:val="single" w:sz="4" w:space="0" w:color="auto"/>
            </w:tcBorders>
            <w:shd w:val="clear" w:color="000000" w:fill="000000"/>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Jumlah tidak diketahui pasti tapi dari segi disahkannya alokasi anggaran untuk pembibitan karenat sebesar Rp 900.000.000 dalam DIPA 2012 </w:t>
            </w:r>
            <w:r w:rsidRPr="0021075D">
              <w:rPr>
                <w:rFonts w:ascii="Times New Roman" w:eastAsia="Times New Roman" w:hAnsi="Times New Roman" w:cs="Times New Roman"/>
                <w:color w:val="000000"/>
                <w:sz w:val="20"/>
                <w:szCs w:val="20"/>
                <w:lang w:eastAsia="id-ID"/>
              </w:rPr>
              <w:lastRenderedPageBreak/>
              <w:t>cukup membuktikan DPRD memiliki sensitifitas terhadap pelestarian hutan.</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2</w:t>
            </w:r>
          </w:p>
        </w:tc>
      </w:tr>
      <w:tr w:rsidR="0021075D" w:rsidRPr="0021075D" w:rsidTr="0021075D">
        <w:trPr>
          <w:trHeight w:val="915"/>
        </w:trPr>
        <w:tc>
          <w:tcPr>
            <w:tcW w:w="714"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33"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PU</w:t>
            </w:r>
          </w:p>
        </w:tc>
        <w:tc>
          <w:tcPr>
            <w:tcW w:w="1871" w:type="dxa"/>
            <w:tcBorders>
              <w:top w:val="nil"/>
              <w:left w:val="nil"/>
              <w:bottom w:val="single" w:sz="4" w:space="0" w:color="auto"/>
              <w:right w:val="nil"/>
            </w:tcBorders>
            <w:shd w:val="clear" w:color="000000" w:fill="000000"/>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121" w:type="dxa"/>
            <w:tcBorders>
              <w:top w:val="nil"/>
              <w:left w:val="nil"/>
              <w:bottom w:val="single" w:sz="4" w:space="0" w:color="auto"/>
              <w:right w:val="nil"/>
            </w:tcBorders>
            <w:shd w:val="clear" w:color="000000" w:fill="000000"/>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3096" w:type="dxa"/>
            <w:gridSpan w:val="2"/>
            <w:tcBorders>
              <w:top w:val="single" w:sz="4" w:space="0" w:color="auto"/>
              <w:left w:val="single" w:sz="4" w:space="0" w:color="auto"/>
              <w:bottom w:val="single" w:sz="4" w:space="0" w:color="auto"/>
              <w:right w:val="single" w:sz="4" w:space="0" w:color="000000"/>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w:t>
            </w:r>
          </w:p>
        </w:tc>
      </w:tr>
      <w:tr w:rsidR="0021075D" w:rsidRPr="0021075D" w:rsidTr="0021075D">
        <w:trPr>
          <w:trHeight w:val="765"/>
        </w:trPr>
        <w:tc>
          <w:tcPr>
            <w:tcW w:w="714"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33"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LSM</w:t>
            </w:r>
          </w:p>
        </w:tc>
        <w:tc>
          <w:tcPr>
            <w:tcW w:w="1871" w:type="dxa"/>
            <w:tcBorders>
              <w:top w:val="nil"/>
              <w:left w:val="nil"/>
              <w:bottom w:val="single" w:sz="4" w:space="0" w:color="auto"/>
              <w:right w:val="single" w:sz="4" w:space="0" w:color="auto"/>
            </w:tcBorders>
            <w:shd w:val="clear" w:color="000000" w:fill="000000"/>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121" w:type="dxa"/>
            <w:tcBorders>
              <w:top w:val="nil"/>
              <w:left w:val="nil"/>
              <w:bottom w:val="single" w:sz="4" w:space="0" w:color="auto"/>
              <w:right w:val="single" w:sz="4" w:space="0" w:color="auto"/>
            </w:tcBorders>
            <w:shd w:val="clear" w:color="000000" w:fill="000000"/>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Kurang mengetahui secara persis siapa yang mendukung, PDIP agak lebih peduli.</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2</w:t>
            </w:r>
          </w:p>
        </w:tc>
      </w:tr>
      <w:tr w:rsidR="0021075D" w:rsidRPr="0021075D" w:rsidTr="0021075D">
        <w:trPr>
          <w:trHeight w:val="1020"/>
        </w:trPr>
        <w:tc>
          <w:tcPr>
            <w:tcW w:w="714"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33"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Jurnalis</w:t>
            </w:r>
          </w:p>
        </w:tc>
        <w:tc>
          <w:tcPr>
            <w:tcW w:w="1871" w:type="dxa"/>
            <w:tcBorders>
              <w:top w:val="nil"/>
              <w:left w:val="nil"/>
              <w:bottom w:val="single" w:sz="4" w:space="0" w:color="auto"/>
              <w:right w:val="single" w:sz="4" w:space="0" w:color="auto"/>
            </w:tcBorders>
            <w:shd w:val="clear" w:color="000000" w:fill="000000"/>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121" w:type="dxa"/>
            <w:tcBorders>
              <w:top w:val="nil"/>
              <w:left w:val="nil"/>
              <w:bottom w:val="single" w:sz="4" w:space="0" w:color="auto"/>
              <w:right w:val="single" w:sz="4" w:space="0" w:color="auto"/>
            </w:tcBorders>
            <w:shd w:val="clear" w:color="000000" w:fill="000000"/>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legislator yang peduli dengan masalah kelestarian hutan. Di Tesso Nilo bahkan ada anggota DPRD yang merambah dan memiliki lahan.</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2</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Isu dalam PGA REDD+</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2932"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II. Pengaturan Hak  </w:t>
            </w: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70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21075D" w:rsidRPr="0021075D" w:rsidTr="0021075D">
        <w:trPr>
          <w:trHeight w:val="36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single" w:sz="4" w:space="0" w:color="auto"/>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BIIa1</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Kondisi realisasi rencana kebutuhan SDM </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rencana kebutuhan SDM sudah terpenuhi?</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Dokumen detail tentang rencana pendidikan tidak tersedia</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Belum terpenuhi, dari jumlah yang ada 8 orang yang dibutuhkan adalah 15 orang di bagian perencanaan. </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2</w:t>
            </w:r>
          </w:p>
        </w:tc>
      </w:tr>
      <w:tr w:rsidR="0021075D" w:rsidRPr="0021075D" w:rsidTr="0021075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BIIa2</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Memiliki pendidikan S1 di bidang terkait dengan kehutanan </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Dokumen tidak tersedia karena kewenangan instansi tidak menjangkau indikator ini</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Agak sulit untuk menjelaskan karena kenyataannya Dishut Pelalawan tidak memiliki kewenangan untuk mengatur dan sebagainya. Jika perusahaan berkonsultasi ke dishut akan mendapatkan pelayanan. Hanya sebatas itu saja kewenangan dishut. </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2</w:t>
            </w:r>
          </w:p>
        </w:tc>
      </w:tr>
      <w:tr w:rsidR="0021075D" w:rsidRPr="0021075D" w:rsidTr="0021075D">
        <w:trPr>
          <w:trHeight w:val="280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BIIa3</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Dokumen tidak tersedia karena kewenangan instansi tidak menjangkau indikator ini</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Jika mengadministrasikan hak masyarakat dan bisnis diartikan sebagai mengelola dan menjamin masyarakat mendapatkan hak pengelolaan seperti hanya perusahaan, maka hal ini tidak benar. Karena Dishut hanya menonton saja, memberi saran jika diperlukan, tidak punya kewenangan yang berarti jika terkait dengan kehutanan. Karena kewenangan sepenuhnya di tingkat pusat (kemenhut). </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r>
      <w:tr w:rsidR="0021075D" w:rsidRPr="0021075D" w:rsidTr="0021075D">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BIIa4</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Dokumen tidak tersedia karena kewenangan instansi tidak menjangkau indikator ini</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Memberi pelayanan informasi saja, bukan mengadministrasikan hak. Tidak ada pelatihan tentang ini.</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73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21075D" w:rsidRPr="0021075D" w:rsidTr="0021075D">
        <w:trPr>
          <w:trHeight w:val="61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310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BIIb1</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Dishut tidak bersedia memberikan data dokumen daerah karena banyak kasus berkaitan dengan kasus terkait masalah kehutanan di Kabupaten Pelalawan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Komponen pengadministrasian hak masyarakat tidak dikenal dalam mata anggaran Dishut Pelalawan, jadi tidak dapat memberikan informasi. Terlebih lagi situasi sedang sensitif karena masalah kehutanan, Semenanjung Kampar yang menjadi sorotan dunia, seolah-olah kasus itu sepenuhnya menjadi kesalahan daerah, padahal izin pelepasan untuk PT. RAPP sepenuhnya di kemenhut</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2</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64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21075D" w:rsidRPr="0021075D" w:rsidTr="0021075D">
        <w:trPr>
          <w:trHeight w:val="66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single" w:sz="4" w:space="0" w:color="auto"/>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BIIc1</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Komponen Mekanisme-1: Pembagian tugas &amp; tanggung jawab setiap pihak</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Dokumen renstra tidak diizinkan untuk di copy</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Pembagian tugas dan tanggung jawab telah diatur dalam dan dapat dilihat dalam struktur organisasi, berjalan sesuai fungsi masing-masing. </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3</w:t>
            </w:r>
          </w:p>
        </w:tc>
      </w:tr>
      <w:tr w:rsidR="0021075D" w:rsidRPr="0021075D" w:rsidTr="0021075D">
        <w:trPr>
          <w:trHeight w:val="244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BIIc2</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Komponen Mekanisme-2: Tahapan pelaksanaan kerjasama</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Dokumen renstra tidak diizinkan untuk di copy</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Kerjasama antar unit sering tumpang tindih, kadang ada bagian yang sangat sibuk, ada bagian yang tidak mengerjakan apapun. Terlebih sejak awal Otda SDM yang direkrut sangat minim dari segi kualitas, hanya karena anak dari keluarga berpengaruh </w:t>
            </w:r>
            <w:r w:rsidRPr="0021075D">
              <w:rPr>
                <w:rFonts w:ascii="Times New Roman" w:eastAsia="Times New Roman" w:hAnsi="Times New Roman" w:cs="Times New Roman"/>
                <w:color w:val="000000"/>
                <w:sz w:val="20"/>
                <w:szCs w:val="20"/>
                <w:lang w:eastAsia="id-ID"/>
              </w:rPr>
              <w:lastRenderedPageBreak/>
              <w:t>sudah dapat menduduki jabatan strategis di pemkab.</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2</w:t>
            </w:r>
          </w:p>
        </w:tc>
      </w:tr>
      <w:tr w:rsidR="0021075D" w:rsidRPr="0021075D" w:rsidTr="0021075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BIIc3</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Komponen Mekanisme-3: Mekanisme pengambilan keputusan</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Mekanisme pengambilan keputus-an dalam kerjasama antara unit?</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Dokumen renstra tidak diizinkan untuk di copy</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selalu sinkron banyak kendala dan masalah semntara kewenangan dan SDM tidak memadai, akhirnya berjalan apa adanya saja</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2</w:t>
            </w:r>
          </w:p>
        </w:tc>
      </w:tr>
      <w:tr w:rsidR="0021075D" w:rsidRPr="0021075D" w:rsidTr="0021075D">
        <w:trPr>
          <w:trHeight w:val="159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BIIc4</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Komponen Mekanisme-4: </w:t>
            </w:r>
            <w:r w:rsidRPr="0021075D">
              <w:rPr>
                <w:rFonts w:ascii="Times New Roman" w:eastAsia="Times New Roman" w:hAnsi="Times New Roman" w:cs="Times New Roman"/>
                <w:color w:val="000000"/>
                <w:sz w:val="20"/>
                <w:szCs w:val="20"/>
                <w:lang w:eastAsia="id-ID"/>
              </w:rPr>
              <w:br/>
              <w:t>Tata waktu pelaksanaan kerjasama</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Tata waktu pelaksanaan kerjasama dalam mekanisme kerjasama antara unit?</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Dokumen renstra tidak diizinkan untuk di copy</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batas waktu, untuk pengurusan izin langsung ke kemenhut dan persoalan tata batas wilayah menjadi kewenangan BPKH. BPKH bertanggung jawab untuk Kepri dan Riau.</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2</w:t>
            </w:r>
          </w:p>
        </w:tc>
      </w:tr>
      <w:tr w:rsidR="0021075D" w:rsidRPr="0021075D" w:rsidTr="0021075D">
        <w:trPr>
          <w:trHeight w:val="132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BIIc5</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Komponen Mekanisme-5: Mekanisme pelaporan hasil pelaksanaan kerjasama</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Mekanisme pelaporan hasil pelak-sanaan kerjasama dalam kerjasa-ma antara unit?</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Dokumen renstra tidak diizinkan untuk di copy</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Pelaporan dapat dilihat dalam dokumen LAKIP, tapi LAKIP tidak selalu menggambarkan hasil kerjasama, tapi pencapaian target renstra</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2</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39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21075D" w:rsidRPr="0021075D" w:rsidTr="0021075D">
        <w:trPr>
          <w:trHeight w:val="33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single" w:sz="4" w:space="0" w:color="auto"/>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BIId1</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Kondisi realisasi rencana kebutuhan SDM </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rencana kebutuhan SDM sudah terpenuhi?</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Dokumen tidak menyediakan data detail tentang rencana SDM</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Belum terpenuhi sekarang baru 8 orang, yang dibutuhkan 15 orang</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2</w:t>
            </w:r>
          </w:p>
        </w:tc>
      </w:tr>
      <w:tr w:rsidR="0021075D" w:rsidRPr="0021075D" w:rsidTr="0021075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BIId2</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Memiliki pendidikan S1 di bidang terkait dengan kehutanan </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w:t>
            </w:r>
            <w:r w:rsidRPr="0021075D">
              <w:rPr>
                <w:rFonts w:ascii="Times New Roman" w:eastAsia="Times New Roman" w:hAnsi="Times New Roman" w:cs="Times New Roman"/>
                <w:color w:val="000000"/>
                <w:sz w:val="20"/>
                <w:szCs w:val="20"/>
                <w:lang w:eastAsia="id-ID"/>
              </w:rPr>
              <w:lastRenderedPageBreak/>
              <w:t xml:space="preserve">terkait dengan ke-hutanan? </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Dokumen tidak menyediakan data detail tentang rencana SDM</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SDM yang menangani konflik berpendidikan S1, menangani konflik di sini artinya semua SDM bertanggung </w:t>
            </w:r>
            <w:r w:rsidRPr="0021075D">
              <w:rPr>
                <w:rFonts w:ascii="Times New Roman" w:eastAsia="Times New Roman" w:hAnsi="Times New Roman" w:cs="Times New Roman"/>
                <w:color w:val="000000"/>
                <w:sz w:val="20"/>
                <w:szCs w:val="20"/>
                <w:lang w:eastAsia="id-ID"/>
              </w:rPr>
              <w:lastRenderedPageBreak/>
              <w:t>jawab untuk menangani konflik, belum ada unit khusus untuk menangani konflik.</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3</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BIId3</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Memilki sertifikat sebagai mediator dalam penanganan</w:t>
            </w:r>
            <w:r w:rsidRPr="0021075D">
              <w:rPr>
                <w:rFonts w:ascii="Times New Roman" w:eastAsia="Times New Roman" w:hAnsi="Times New Roman" w:cs="Times New Roman"/>
                <w:color w:val="000000"/>
                <w:sz w:val="20"/>
                <w:szCs w:val="20"/>
                <w:lang w:eastAsia="id-ID"/>
              </w:rPr>
              <w:br/>
              <w:t>konflik hak atas hutan</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Belum memiliki sertifikat mediator</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2</w:t>
            </w:r>
          </w:p>
        </w:tc>
      </w:tr>
      <w:tr w:rsidR="0021075D" w:rsidRPr="0021075D" w:rsidTr="0021075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BIId4</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Belum memiliki pengalaman sebagai mediator</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30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5767" w:type="dxa"/>
            <w:gridSpan w:val="4"/>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63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342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BIIe1</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Data tidak berhasil diperoleh karena karena kesibukan informan, hingga batas akhir tidak sempat memberikan data tentang DIPA, informan juga berhalangan hadir dalam FGD di Pelalawan  4 September 2012 karena dinas ke Jakarta. Untuk mewawancarai informan peneliti membutuhkan waktu menunggu proses membuat janji selama 3 minggu.</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2</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Isu dalam PGA REDD+</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2932"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III. Pengorganisasian Hutan </w:t>
            </w: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70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lastRenderedPageBreak/>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21075D" w:rsidRPr="0021075D" w:rsidTr="0021075D">
        <w:trPr>
          <w:trHeight w:val="36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single" w:sz="4" w:space="0" w:color="auto"/>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 Kepala TN, BKSDA, KPH Provinsi/Kabupaten </w:t>
            </w: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621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BIIIa1</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06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KPH</w:t>
            </w:r>
          </w:p>
        </w:tc>
        <w:tc>
          <w:tcPr>
            <w:tcW w:w="187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12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714"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Wawancara dengan Kabag Planologi Dishut Pelalawan: KPHP tidak lebih adalah intrevensi pusat/kemenhut pada tingkat tapak. KPHP sepertinya dipaksakan hanya untuk memenuhi persyaratan formal karena APBN telah mengalokasikan pembentukan KPHP. KPHP Tasik Besar Serkap seluas 400.000 ha dan Giam Siak Kecil 276.000 ha sengaja digabung karena dengan luas lebih dari 500.000 ha agar KPHP dikelola oleh provinsi. Lagi pula, secara SDM belum tentu memenuhi persyaratan ruang golongan, karena untuk menjabat ketua KPHP harus eselon 3 sementara orang -orang yang dikirim untuk pelatihan golongannya belum terpenuhi minimal harus IVA PIM 3A dan harus bersertifikat teknis.  </w:t>
            </w:r>
          </w:p>
        </w:tc>
        <w:tc>
          <w:tcPr>
            <w:tcW w:w="1382"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BIIIa2</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Memiliki pendidikan S1 di bidang kehutanan atau terkait</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w:t>
            </w:r>
            <w:r w:rsidRPr="0021075D">
              <w:rPr>
                <w:rFonts w:ascii="Times New Roman" w:eastAsia="Times New Roman" w:hAnsi="Times New Roman" w:cs="Times New Roman"/>
                <w:color w:val="000000"/>
                <w:sz w:val="20"/>
                <w:szCs w:val="20"/>
                <w:lang w:eastAsia="id-ID"/>
              </w:rPr>
              <w:lastRenderedPageBreak/>
              <w:t xml:space="preserve">atau terkait? </w:t>
            </w:r>
          </w:p>
        </w:tc>
        <w:tc>
          <w:tcPr>
            <w:tcW w:w="106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KPH</w:t>
            </w:r>
          </w:p>
        </w:tc>
        <w:tc>
          <w:tcPr>
            <w:tcW w:w="187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12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714"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Tidak ada KPH di Kabupaten Siak, Rencana wilayah yang dikelola telah ditentukan yaitu KPHP tingkat Provinsi yaitu Tasik Besar </w:t>
            </w:r>
            <w:r w:rsidRPr="0021075D">
              <w:rPr>
                <w:rFonts w:ascii="Times New Roman" w:eastAsia="Times New Roman" w:hAnsi="Times New Roman" w:cs="Times New Roman"/>
                <w:color w:val="000000"/>
                <w:sz w:val="20"/>
                <w:szCs w:val="20"/>
                <w:lang w:eastAsia="id-ID"/>
              </w:rPr>
              <w:lastRenderedPageBreak/>
              <w:t>Serkap, tapi belum ada kegiatan.</w:t>
            </w:r>
          </w:p>
        </w:tc>
        <w:tc>
          <w:tcPr>
            <w:tcW w:w="1382"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 </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BIIIa3</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Pernah mendapatkan pelatihan menjadi fasilitator </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06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KPH</w:t>
            </w:r>
          </w:p>
        </w:tc>
        <w:tc>
          <w:tcPr>
            <w:tcW w:w="187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12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714"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r>
      <w:tr w:rsidR="0021075D" w:rsidRPr="0021075D" w:rsidTr="0021075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BIIIa4</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06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KPH</w:t>
            </w:r>
          </w:p>
        </w:tc>
        <w:tc>
          <w:tcPr>
            <w:tcW w:w="187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12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714"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70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21075D" w:rsidRPr="0021075D" w:rsidTr="0021075D">
        <w:trPr>
          <w:trHeight w:val="36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single" w:sz="4" w:space="0" w:color="auto"/>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 Kepala TN, BKSDA, KPH Provinsi/Kabupaten</w:t>
            </w: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BIIIb1</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06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KPH</w:t>
            </w:r>
          </w:p>
        </w:tc>
        <w:tc>
          <w:tcPr>
            <w:tcW w:w="6088" w:type="dxa"/>
            <w:gridSpan w:val="4"/>
            <w:tcBorders>
              <w:top w:val="single" w:sz="4" w:space="0" w:color="auto"/>
              <w:left w:val="nil"/>
              <w:bottom w:val="single" w:sz="4" w:space="0" w:color="auto"/>
              <w:right w:val="single" w:sz="4" w:space="0" w:color="000000"/>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Belum terbentuk KPHP di Pelalawan</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3736" w:type="dxa"/>
            <w:gridSpan w:val="3"/>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Isu dalam PGA REDD+</w:t>
            </w:r>
          </w:p>
        </w:tc>
        <w:tc>
          <w:tcPr>
            <w:tcW w:w="5767" w:type="dxa"/>
            <w:gridSpan w:val="4"/>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31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4053" w:type="dxa"/>
            <w:gridSpan w:val="3"/>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a. Jumlah luas kawasan hutan yang dialokasikan untuk masyarakat(?)</w:t>
            </w: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5767" w:type="dxa"/>
            <w:gridSpan w:val="4"/>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BIVa1</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Jumlah luas kawasan hutan yang dialokasikan untuk masyarakat</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Berapa jumlah luas kawasan hutan yang dialokasikan untuk masyara-kat?</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Dokumen ada tingkat provinsi atau di BPKH</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Dinas kehutanan Kabupaten Pelalawan tidak bisa memastikan luas kawasan hutan karena semuanya ditentukan oleh kementrian kehutanan</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34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5767" w:type="dxa"/>
            <w:gridSpan w:val="4"/>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1275"/>
        </w:trPr>
        <w:tc>
          <w:tcPr>
            <w:tcW w:w="714" w:type="dxa"/>
            <w:tcBorders>
              <w:top w:val="nil"/>
              <w:left w:val="single" w:sz="4" w:space="0" w:color="auto"/>
              <w:bottom w:val="single" w:sz="4" w:space="0" w:color="auto"/>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BIVb1</w:t>
            </w:r>
          </w:p>
        </w:tc>
        <w:tc>
          <w:tcPr>
            <w:tcW w:w="1289" w:type="dxa"/>
            <w:tcBorders>
              <w:top w:val="nil"/>
              <w:left w:val="single" w:sz="4" w:space="0" w:color="auto"/>
              <w:bottom w:val="single" w:sz="4" w:space="0" w:color="auto"/>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733" w:type="dxa"/>
            <w:tcBorders>
              <w:top w:val="nil"/>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KPHP belum tentu berjalan sebagaimana yang diharapkan berdaarkan kendala-kendala tadi. </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2</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36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21075D" w:rsidRPr="0021075D" w:rsidTr="0021075D">
        <w:trPr>
          <w:trHeight w:val="63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445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BIVc1</w:t>
            </w:r>
          </w:p>
        </w:tc>
        <w:tc>
          <w:tcPr>
            <w:tcW w:w="1289"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 saja dasar pertimbangan yang digunakan dalam pemberian izin</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Kehutanan</w:t>
            </w:r>
          </w:p>
        </w:tc>
        <w:tc>
          <w:tcPr>
            <w:tcW w:w="1871" w:type="dxa"/>
            <w:tcBorders>
              <w:top w:val="nil"/>
              <w:left w:val="nil"/>
              <w:bottom w:val="single" w:sz="4" w:space="0" w:color="auto"/>
              <w:right w:val="single" w:sz="4" w:space="0" w:color="auto"/>
            </w:tcBorders>
            <w:shd w:val="clear" w:color="000000" w:fill="000000"/>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ber</w:t>
            </w:r>
          </w:p>
        </w:tc>
        <w:tc>
          <w:tcPr>
            <w:tcW w:w="1121" w:type="dxa"/>
            <w:tcBorders>
              <w:top w:val="nil"/>
              <w:left w:val="nil"/>
              <w:bottom w:val="single" w:sz="4" w:space="0" w:color="auto"/>
              <w:right w:val="single" w:sz="4" w:space="0" w:color="auto"/>
            </w:tcBorders>
            <w:shd w:val="clear" w:color="000000" w:fill="000000"/>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Pada dakwaan PU KPK, Bupati Pelalawan yang mengajukan IUPHHK-HT untuk PT. Madukoro, CV. Alam Lestari, CV. Tuah Negeri, PT Lindung Bulan, CV Harapan Jaya, CV Mutiara Lestari, CV Bhakti Praja Mulia. Saat perusahaan-perusahaan tersebut mendapatkan IPHHK-HT orang-orang yang ditunjuk Azmun menawarkan take over kepada PT. RAPP saat ini </w:t>
            </w:r>
            <w:r w:rsidRPr="0021075D">
              <w:rPr>
                <w:rFonts w:ascii="Times New Roman" w:eastAsia="Times New Roman" w:hAnsi="Times New Roman" w:cs="Times New Roman"/>
                <w:color w:val="000000"/>
                <w:sz w:val="20"/>
                <w:szCs w:val="20"/>
                <w:lang w:eastAsia="id-ID"/>
              </w:rPr>
              <w:lastRenderedPageBreak/>
              <w:t>perusahaan resmi menjadi milik PT. RAPP. JAdi sebenernya persyaratan izin sepenuhnya ada di kemenhut, kabupaten hanya menyediakan pencadangan lahan, tapi penerbitan izin sepenuhnya kewenangan kemenhut.</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lastRenderedPageBreak/>
              <w:t>2</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Isu dalam PGA REDD+</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2932"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V. Pengendalian dan Penegakan Hukum  </w:t>
            </w: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2932"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Pimpinan KPH Provinsi/Kabupaten </w:t>
            </w: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BVa1</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Kinerja KPH dalam penerapan sistem pengendalian internal</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06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KPH</w:t>
            </w:r>
          </w:p>
        </w:tc>
        <w:tc>
          <w:tcPr>
            <w:tcW w:w="6088"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Belum terbentuk KPHP di Pelalawan</w:t>
            </w:r>
          </w:p>
        </w:tc>
      </w:tr>
      <w:tr w:rsidR="0021075D" w:rsidRPr="0021075D" w:rsidTr="0021075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BVa2</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061" w:type="dxa"/>
            <w:tcBorders>
              <w:top w:val="nil"/>
              <w:left w:val="nil"/>
              <w:bottom w:val="single" w:sz="4" w:space="0" w:color="auto"/>
              <w:right w:val="single" w:sz="4" w:space="0" w:color="auto"/>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KPH</w:t>
            </w:r>
          </w:p>
        </w:tc>
        <w:tc>
          <w:tcPr>
            <w:tcW w:w="6088" w:type="dxa"/>
            <w:gridSpan w:val="4"/>
            <w:vMerge/>
            <w:tcBorders>
              <w:top w:val="nil"/>
              <w:left w:val="nil"/>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2932"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Bagian kepegawaian Polda/Polres/Polresta</w:t>
            </w: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129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BVb1</w:t>
            </w:r>
          </w:p>
        </w:tc>
        <w:tc>
          <w:tcPr>
            <w:tcW w:w="1289"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733" w:type="dxa"/>
            <w:tcBorders>
              <w:top w:val="nil"/>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Polres</w:t>
            </w:r>
          </w:p>
        </w:tc>
        <w:tc>
          <w:tcPr>
            <w:tcW w:w="6088"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bersedia diwawancara, berkoordinasi dengan POLDA Riau untuk permintaan data.</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BVb2</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Sertifikat/Bukti Keikutsertaan pelatihan</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Polres</w:t>
            </w:r>
          </w:p>
        </w:tc>
        <w:tc>
          <w:tcPr>
            <w:tcW w:w="6088" w:type="dxa"/>
            <w:gridSpan w:val="4"/>
            <w:vMerge/>
            <w:tcBorders>
              <w:top w:val="nil"/>
              <w:left w:val="nil"/>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r>
      <w:tr w:rsidR="0021075D" w:rsidRPr="0021075D" w:rsidTr="0021075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BVb3</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Pengalaman kerja dalam bidang yang terkait pidana kehutanan dan lingkungan</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Polres</w:t>
            </w:r>
          </w:p>
        </w:tc>
        <w:tc>
          <w:tcPr>
            <w:tcW w:w="6088" w:type="dxa"/>
            <w:gridSpan w:val="4"/>
            <w:vMerge/>
            <w:tcBorders>
              <w:top w:val="nil"/>
              <w:left w:val="nil"/>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45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5767" w:type="dxa"/>
            <w:gridSpan w:val="4"/>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2932"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Bagian kepegawaian Kejati/Kejari</w:t>
            </w: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BVc1</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Kejari</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Kasus yang ditangani Kejari Pelalawan 45% adalah kasus kehutanan. Jaksa memiliki pengalaman untuk menangani kasus kehutanan karena pengalaman 4 tahun menangani kasus kehutanan.</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3</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BVc2</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Sertifikat/Bukti Keikutsertaan pelatihan</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Kejari</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Jaksa bersertifikat lingkungan 3 orang. Jumlah jaksa di Kejari 14 orang. </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3</w:t>
            </w:r>
          </w:p>
        </w:tc>
      </w:tr>
      <w:tr w:rsidR="0021075D" w:rsidRPr="0021075D" w:rsidTr="0021075D">
        <w:trPr>
          <w:trHeight w:val="510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BVc3</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Pengalaman kerja dalam bidang yang terkait pidana kehutanan dan lingkungan</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Kejari</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Dilihat dari pengalaman cukup memadai, tapi keterbatasan jaksa dalam menangani kasus kehutanan yang dibatasi UU dan peraturan. Hampir semua kasus yang berkaitan dengan kehutanan hanya dapat menangkap pelaku yang berada di lapangan seperti sopir, buruh, atau pengangkut. Tidak ada aturan yang dapat menjerat hingga ke aktor intelektual atau pemodalnya. Persoalan pelik lainnya adalah tidak adanya keseragaman peta di tingkat kabupaten dan provinsi. Masing-masing memiliki peta yang sama-sama sah. Ada yang menggunakan TGHK 1986, ada yang menggunakan RTRWP. Tapi sebenarnya RTRWP belum dapat digunakan karena belum finalisasi dan pengesahan padu serasi. Hal ini yang menyulitkan penanganan kasus kehutanan. </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2</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45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5767" w:type="dxa"/>
            <w:gridSpan w:val="4"/>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4053" w:type="dxa"/>
            <w:gridSpan w:val="3"/>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Bagian kepegawaian Pengadilan Tinggi/Pengadilan Negeri</w:t>
            </w: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BVd1</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Pengadilan Negeri</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Dokumen tidak diizinkan dilihat langsung atau difotocopy oleh peneliti, hanya dibacakan oleh petugas kepada peneliti</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Jumlah hakim kurang memadai hanya berjumlah 8 orang, pegawai 15 orang, idealnya pegawai 40 orang.</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2</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BVd2</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Sertifikat/Bukti Keikutsertaan pelatihan</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Pengadilan Negeri</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Dokumen tidak diizinkan dilihat langsung atau difotocopy oleh peneliti, hanya dibacakan oleh petugas kepada peneliti</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 Tidak ada hakim yang bersertifikat lingkungan</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2</w:t>
            </w:r>
          </w:p>
        </w:tc>
      </w:tr>
      <w:tr w:rsidR="0021075D" w:rsidRPr="0021075D" w:rsidTr="0021075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BVd3</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Pengalaman kerja dalam bidang yang terkait pidana kehutanan dan lingkungan</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Pengadilan Negeri</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Dokumen tidak diizinkan dilihat langsung atau difotocopy oleh peneliti, hanya dibacakan oleh petugas kepada peneliti</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Hakim cukup berpengalaman dalam menyidangkan kasus-kasus kehutanan.</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2</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34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2932" w:type="dxa"/>
            <w:gridSpan w:val="2"/>
            <w:tcBorders>
              <w:top w:val="nil"/>
              <w:left w:val="nil"/>
              <w:bottom w:val="nil"/>
              <w:right w:val="nil"/>
            </w:tcBorders>
            <w:shd w:val="clear" w:color="auto" w:fill="auto"/>
            <w:noWrap/>
            <w:hideMark/>
          </w:tcPr>
          <w:p w:rsidR="0021075D" w:rsidRPr="0021075D" w:rsidRDefault="0021075D" w:rsidP="0021075D">
            <w:pPr>
              <w:spacing w:after="24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Unit reskrim Polda, Unit reskrim Polres/Polresta</w:t>
            </w: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516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BVe1</w:t>
            </w:r>
          </w:p>
        </w:tc>
        <w:tc>
          <w:tcPr>
            <w:tcW w:w="1289" w:type="dxa"/>
            <w:vMerge w:val="restart"/>
            <w:tcBorders>
              <w:top w:val="nil"/>
              <w:left w:val="single" w:sz="4" w:space="0" w:color="auto"/>
              <w:bottom w:val="single" w:sz="4" w:space="0" w:color="000000"/>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733" w:type="dxa"/>
            <w:vMerge w:val="restart"/>
            <w:tcBorders>
              <w:top w:val="nil"/>
              <w:left w:val="single" w:sz="4" w:space="0" w:color="auto"/>
              <w:bottom w:val="single" w:sz="4" w:space="0" w:color="000000"/>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Kejari</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Penanganan kasus Kehutanan di Kejari Pelalawan bersumber dari Buku Besar Penanganan Kasus yaitu: 2007 jumlah 13 kasus, 2008 jumlah 11 kasus, 2009 jumlah 7 kasus, 2010 jumlah 10 kasus, 2011 jumlah 5 kasus, 2012 jumlah 17 kasus.</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3</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Kejari menyatakan beberapa persoalan mendasar yang menyulitkan penyidikan kasus kehutanan : 1.  yang menjadi tersangka atau terdakwa kasus yang masuk hanya pekerja kasar yang berasal dari masyarakat kelas bawah. Sementara cukong atau pemilik modal tidak diproses. hal itu terjadi karena kasus kehutanan yang diajukan oleh penyidik kepolisian, sedangkan jaksa tidak berwenang menyidik perkara pidana kehutanan, 2. terjadi tumpang tindih kawasan dan peta wilayah karena belum ada pedoman baku wilayah. Perda No. 23 Tahun 2001 tentang RTRW Kabupaten Pelalawan tidak berlakuu lagi sejak tahun 2009. PErsoalan tata ruang menyulitkan jaksa untuk memastikan penegakan hukumnya</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3</w:t>
            </w:r>
          </w:p>
        </w:tc>
      </w:tr>
      <w:tr w:rsidR="0021075D" w:rsidRPr="0021075D" w:rsidTr="0021075D">
        <w:trPr>
          <w:trHeight w:val="1125"/>
        </w:trPr>
        <w:tc>
          <w:tcPr>
            <w:tcW w:w="714"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Polres</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bersedia diwawancara, berkoordinasi dengan POLDA Riau untuk permintaan data.</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r>
      <w:tr w:rsidR="0021075D" w:rsidRPr="0021075D" w:rsidTr="0021075D">
        <w:trPr>
          <w:trHeight w:val="1170"/>
        </w:trPr>
        <w:tc>
          <w:tcPr>
            <w:tcW w:w="714" w:type="dxa"/>
            <w:vMerge/>
            <w:tcBorders>
              <w:top w:val="nil"/>
              <w:left w:val="single" w:sz="4" w:space="0" w:color="auto"/>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vMerge/>
            <w:tcBorders>
              <w:top w:val="nil"/>
              <w:left w:val="single" w:sz="4" w:space="0" w:color="auto"/>
              <w:bottom w:val="single" w:sz="4" w:space="0" w:color="000000"/>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Pengadilan Negeri</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1</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Tidak memberikan data sampai batas akhir penelitian.</w:t>
            </w:r>
          </w:p>
        </w:tc>
        <w:tc>
          <w:tcPr>
            <w:tcW w:w="1382" w:type="dxa"/>
            <w:tcBorders>
              <w:top w:val="nil"/>
              <w:left w:val="nil"/>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3</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Isu dalam PGA REDD+</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2932"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VI. Infrastruktur REDD+</w:t>
            </w: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a.  Keberadaan lembaga REDD+ di Nasional dan Sub nasional</w:t>
            </w:r>
          </w:p>
        </w:tc>
      </w:tr>
      <w:tr w:rsidR="0021075D" w:rsidRPr="0021075D" w:rsidTr="0021075D">
        <w:trPr>
          <w:trHeight w:val="36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5767" w:type="dxa"/>
            <w:gridSpan w:val="4"/>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Nasional: UKP4 (Satgas REDD+)</w:t>
            </w:r>
            <w:r w:rsidRPr="0021075D">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BVIa1</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Ada atau tidak adanya lembaga REDD+ di Nasional dan Sub nasional</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terdapat lembaga REDD+ di Nasional dan Sub nasional?</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w:t>
            </w:r>
          </w:p>
        </w:tc>
        <w:tc>
          <w:tcPr>
            <w:tcW w:w="6088"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 belum terbentuk di Kabupaten Pelalawan</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BVIa2</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dukungan peraturan ter-hadap lembaga REDD+ sudah memadai?</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w:t>
            </w:r>
          </w:p>
        </w:tc>
        <w:tc>
          <w:tcPr>
            <w:tcW w:w="6088" w:type="dxa"/>
            <w:gridSpan w:val="4"/>
            <w:vMerge/>
            <w:tcBorders>
              <w:top w:val="nil"/>
              <w:left w:val="nil"/>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21075D" w:rsidRPr="0021075D" w:rsidTr="0021075D">
        <w:trPr>
          <w:trHeight w:val="58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single" w:sz="4" w:space="0" w:color="auto"/>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Nasional: UKP4 (Satgas REDD+)</w:t>
            </w:r>
            <w:r w:rsidRPr="0021075D">
              <w:rPr>
                <w:rFonts w:ascii="Times New Roman" w:eastAsia="Times New Roman" w:hAnsi="Times New Roman" w:cs="Times New Roman"/>
                <w:b/>
                <w:bCs/>
                <w:color w:val="000000"/>
                <w:sz w:val="20"/>
                <w:szCs w:val="20"/>
                <w:lang w:eastAsia="id-ID"/>
              </w:rPr>
              <w:br/>
              <w:t xml:space="preserve">  Sub nasional: Dinas Kehutanan dan Lingkungan Hidup</w:t>
            </w: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BVIb1</w:t>
            </w:r>
          </w:p>
        </w:tc>
        <w:tc>
          <w:tcPr>
            <w:tcW w:w="1289"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Ada atau tidak adanya lembaga MRV di Nasional dan Sub nasional</w:t>
            </w:r>
          </w:p>
        </w:tc>
        <w:tc>
          <w:tcPr>
            <w:tcW w:w="1733" w:type="dxa"/>
            <w:tcBorders>
              <w:top w:val="nil"/>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terdapat lembaga MRV di Nasional dan Sub nasional?</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w:t>
            </w:r>
          </w:p>
        </w:tc>
        <w:tc>
          <w:tcPr>
            <w:tcW w:w="6088"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 belum terbentuk di Kabupaten Pelalawan</w:t>
            </w:r>
          </w:p>
        </w:tc>
      </w:tr>
      <w:tr w:rsidR="0021075D" w:rsidRPr="0021075D" w:rsidTr="0021075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BVIb2</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dukungan peraturan ter-hadap lembaga MRV sudah memadai?</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w:t>
            </w:r>
          </w:p>
        </w:tc>
        <w:tc>
          <w:tcPr>
            <w:tcW w:w="6088" w:type="dxa"/>
            <w:gridSpan w:val="4"/>
            <w:vMerge/>
            <w:tcBorders>
              <w:top w:val="nil"/>
              <w:left w:val="nil"/>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45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4053" w:type="dxa"/>
            <w:gridSpan w:val="3"/>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c. Keberadaan lembaga finansial di Nasional dan Sub nasional</w:t>
            </w: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5767" w:type="dxa"/>
            <w:gridSpan w:val="4"/>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Nasional: UKP4 (Satgas REDD+)</w:t>
            </w:r>
            <w:r w:rsidRPr="0021075D">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BVIc1</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Ada atau tidak adanya lembaga finansial di tingkat Nasional dan Sub nasional</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terdapat lembaga finansial di tingkat Nasional dan Sub nasional?</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w:t>
            </w:r>
          </w:p>
        </w:tc>
        <w:tc>
          <w:tcPr>
            <w:tcW w:w="6088"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 belum terbentuk di Kabupaten Pelalawan</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BVIc2</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dukungan peraturan ter-hadap lembaga finansial sudah memadai?</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w:t>
            </w:r>
          </w:p>
        </w:tc>
        <w:tc>
          <w:tcPr>
            <w:tcW w:w="6088" w:type="dxa"/>
            <w:gridSpan w:val="4"/>
            <w:vMerge/>
            <w:tcBorders>
              <w:top w:val="nil"/>
              <w:left w:val="nil"/>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45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5767" w:type="dxa"/>
            <w:gridSpan w:val="4"/>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2932"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Ketua Satgas REDD+/Pokja REDD+</w:t>
            </w: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BVId1</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w:t>
            </w:r>
          </w:p>
        </w:tc>
        <w:tc>
          <w:tcPr>
            <w:tcW w:w="6088"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 belum terbentuk di Kabupaten Pelalawan</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BVId2</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w:t>
            </w:r>
          </w:p>
        </w:tc>
        <w:tc>
          <w:tcPr>
            <w:tcW w:w="6088" w:type="dxa"/>
            <w:gridSpan w:val="4"/>
            <w:vMerge/>
            <w:tcBorders>
              <w:top w:val="nil"/>
              <w:left w:val="nil"/>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r>
      <w:tr w:rsidR="0021075D" w:rsidRPr="0021075D" w:rsidTr="0021075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BVId3</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w:t>
            </w:r>
          </w:p>
        </w:tc>
        <w:tc>
          <w:tcPr>
            <w:tcW w:w="6088" w:type="dxa"/>
            <w:gridSpan w:val="4"/>
            <w:vMerge/>
            <w:tcBorders>
              <w:top w:val="nil"/>
              <w:left w:val="nil"/>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5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21075D">
              <w:rPr>
                <w:rFonts w:ascii="Times New Roman" w:eastAsia="Times New Roman" w:hAnsi="Times New Roman" w:cs="Times New Roman"/>
                <w:b/>
                <w:bCs/>
                <w:color w:val="000000"/>
                <w:sz w:val="20"/>
                <w:szCs w:val="20"/>
                <w:lang w:eastAsia="id-ID"/>
              </w:rPr>
              <w:br/>
              <w:t xml:space="preserve"> (Strategi, monitoring, lembaga)</w:t>
            </w:r>
          </w:p>
        </w:tc>
      </w:tr>
      <w:tr w:rsidR="0021075D" w:rsidRPr="0021075D" w:rsidTr="0021075D">
        <w:trPr>
          <w:trHeight w:val="36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single" w:sz="4" w:space="0" w:color="auto"/>
              <w:right w:val="nil"/>
            </w:tcBorders>
            <w:shd w:val="clear" w:color="auto" w:fill="auto"/>
            <w:hideMark/>
          </w:tcPr>
          <w:p w:rsidR="0021075D" w:rsidRPr="0021075D" w:rsidRDefault="0021075D" w:rsidP="0021075D">
            <w:pPr>
              <w:spacing w:after="24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Nasional: Ketua Satgas REDD+</w:t>
            </w: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BVIe1</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w:t>
            </w:r>
          </w:p>
        </w:tc>
        <w:tc>
          <w:tcPr>
            <w:tcW w:w="6088" w:type="dxa"/>
            <w:gridSpan w:val="4"/>
            <w:tcBorders>
              <w:top w:val="single" w:sz="4" w:space="0" w:color="auto"/>
              <w:left w:val="nil"/>
              <w:bottom w:val="single" w:sz="4" w:space="0" w:color="auto"/>
              <w:right w:val="single" w:sz="4" w:space="0" w:color="000000"/>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 belum terbentuk di Kabupaten Pelalawan</w:t>
            </w: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45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5767" w:type="dxa"/>
            <w:gridSpan w:val="4"/>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70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single" w:sz="4" w:space="0" w:color="auto"/>
              <w:right w:val="nil"/>
            </w:tcBorders>
            <w:shd w:val="clear" w:color="auto" w:fill="auto"/>
            <w:hideMark/>
          </w:tcPr>
          <w:p w:rsidR="0021075D" w:rsidRPr="0021075D" w:rsidRDefault="0021075D" w:rsidP="0021075D">
            <w:pPr>
              <w:spacing w:after="24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:Nasional: UKP4 (Satgas REDD+)</w:t>
            </w:r>
            <w:r w:rsidRPr="0021075D">
              <w:rPr>
                <w:rFonts w:ascii="Times New Roman" w:eastAsia="Times New Roman" w:hAnsi="Times New Roman" w:cs="Times New Roman"/>
                <w:b/>
                <w:bCs/>
                <w:color w:val="000000"/>
                <w:sz w:val="20"/>
                <w:szCs w:val="20"/>
                <w:lang w:eastAsia="id-ID"/>
              </w:rPr>
              <w:br/>
              <w:t xml:space="preserve">  Sub nasional: Dinas Kehutanan dan Lingkungan Hidup</w:t>
            </w: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BVIf1</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Ada atau tidak adanya kerangka pengaman di tingkat Nasional dan Sub nasional</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terdapat kerangka pengaman di tingkat Nasional dan Sub nasional?</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w:t>
            </w:r>
          </w:p>
        </w:tc>
        <w:tc>
          <w:tcPr>
            <w:tcW w:w="6088"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 belum terbentuk di Kabupaten Pelalawan</w:t>
            </w:r>
          </w:p>
        </w:tc>
      </w:tr>
      <w:tr w:rsidR="0021075D" w:rsidRPr="0021075D" w:rsidTr="0021075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BVIf2</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24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dukungan peraturan ter-hadap kerangka pengaman sudah memadai?</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w:t>
            </w:r>
          </w:p>
        </w:tc>
        <w:tc>
          <w:tcPr>
            <w:tcW w:w="6088" w:type="dxa"/>
            <w:gridSpan w:val="4"/>
            <w:vMerge/>
            <w:tcBorders>
              <w:top w:val="nil"/>
              <w:left w:val="nil"/>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r>
      <w:tr w:rsidR="0021075D" w:rsidRPr="0021075D" w:rsidTr="0021075D">
        <w:trPr>
          <w:trHeight w:val="255"/>
        </w:trPr>
        <w:tc>
          <w:tcPr>
            <w:tcW w:w="714"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289"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33"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06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87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c>
          <w:tcPr>
            <w:tcW w:w="1714" w:type="dxa"/>
            <w:tcBorders>
              <w:top w:val="nil"/>
              <w:left w:val="nil"/>
              <w:bottom w:val="nil"/>
              <w:right w:val="nil"/>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p>
        </w:tc>
      </w:tr>
      <w:tr w:rsidR="0021075D" w:rsidRPr="0021075D" w:rsidTr="0021075D">
        <w:trPr>
          <w:trHeight w:val="690"/>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Indikator</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7149" w:type="dxa"/>
            <w:gridSpan w:val="5"/>
            <w:tcBorders>
              <w:top w:val="nil"/>
              <w:left w:val="nil"/>
              <w:bottom w:val="nil"/>
              <w:right w:val="nil"/>
            </w:tcBorders>
            <w:shd w:val="clear" w:color="auto" w:fill="auto"/>
            <w:hideMark/>
          </w:tcPr>
          <w:p w:rsidR="0021075D" w:rsidRPr="0021075D" w:rsidRDefault="0021075D" w:rsidP="0021075D">
            <w:pPr>
              <w:spacing w:after="24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21075D">
              <w:rPr>
                <w:rFonts w:ascii="Times New Roman" w:eastAsia="Times New Roman" w:hAnsi="Times New Roman" w:cs="Times New Roman"/>
                <w:b/>
                <w:bCs/>
                <w:color w:val="000000"/>
                <w:sz w:val="20"/>
                <w:szCs w:val="20"/>
                <w:lang w:eastAsia="id-ID"/>
              </w:rPr>
              <w:br/>
              <w:t xml:space="preserve">  akibat pembagian hasil REDD+</w:t>
            </w:r>
          </w:p>
        </w:tc>
      </w:tr>
      <w:tr w:rsidR="0021075D" w:rsidRPr="0021075D" w:rsidTr="0021075D">
        <w:trPr>
          <w:trHeight w:val="255"/>
        </w:trPr>
        <w:tc>
          <w:tcPr>
            <w:tcW w:w="2003"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Wawancara - Sumber informasi</w:t>
            </w:r>
          </w:p>
        </w:tc>
        <w:tc>
          <w:tcPr>
            <w:tcW w:w="1733"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2932" w:type="dxa"/>
            <w:gridSpan w:val="2"/>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 Ketua Satgas REDD+/Pokja REDD+</w:t>
            </w:r>
          </w:p>
        </w:tc>
        <w:tc>
          <w:tcPr>
            <w:tcW w:w="1121"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714" w:type="dxa"/>
            <w:tcBorders>
              <w:top w:val="nil"/>
              <w:left w:val="nil"/>
              <w:bottom w:val="nil"/>
              <w:right w:val="nil"/>
            </w:tcBorders>
            <w:shd w:val="clear" w:color="auto" w:fill="auto"/>
            <w:noWrap/>
            <w:hideMark/>
          </w:tcPr>
          <w:p w:rsidR="0021075D" w:rsidRPr="0021075D" w:rsidRDefault="0021075D" w:rsidP="0021075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p>
        </w:tc>
      </w:tr>
      <w:tr w:rsidR="0021075D" w:rsidRPr="0021075D" w:rsidTr="0021075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Kode</w:t>
            </w:r>
          </w:p>
        </w:tc>
        <w:tc>
          <w:tcPr>
            <w:tcW w:w="1289"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Panduan Analisis Dokumen</w:t>
            </w:r>
          </w:p>
        </w:tc>
        <w:tc>
          <w:tcPr>
            <w:tcW w:w="1733"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Pertanyaan Wawancara</w:t>
            </w:r>
          </w:p>
        </w:tc>
        <w:tc>
          <w:tcPr>
            <w:tcW w:w="106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Sumber Data</w:t>
            </w:r>
          </w:p>
        </w:tc>
        <w:tc>
          <w:tcPr>
            <w:tcW w:w="187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Dokumen</w:t>
            </w:r>
          </w:p>
        </w:tc>
        <w:tc>
          <w:tcPr>
            <w:tcW w:w="1121"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Dokumen</w:t>
            </w:r>
          </w:p>
        </w:tc>
        <w:tc>
          <w:tcPr>
            <w:tcW w:w="1714"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jc w:val="center"/>
              <w:rPr>
                <w:rFonts w:ascii="Times New Roman" w:eastAsia="Times New Roman" w:hAnsi="Times New Roman" w:cs="Times New Roman"/>
                <w:b/>
                <w:bCs/>
                <w:color w:val="000000"/>
                <w:sz w:val="20"/>
                <w:szCs w:val="20"/>
                <w:lang w:eastAsia="id-ID"/>
              </w:rPr>
            </w:pPr>
            <w:r w:rsidRPr="0021075D">
              <w:rPr>
                <w:rFonts w:ascii="Times New Roman" w:eastAsia="Times New Roman" w:hAnsi="Times New Roman" w:cs="Times New Roman"/>
                <w:b/>
                <w:bCs/>
                <w:color w:val="000000"/>
                <w:sz w:val="20"/>
                <w:szCs w:val="20"/>
                <w:lang w:eastAsia="id-ID"/>
              </w:rPr>
              <w:t>Kategori Data Wawancara</w:t>
            </w:r>
          </w:p>
        </w:tc>
      </w:tr>
      <w:tr w:rsidR="0021075D" w:rsidRPr="0021075D" w:rsidTr="0021075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BVIg1</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w:t>
            </w:r>
          </w:p>
        </w:tc>
        <w:tc>
          <w:tcPr>
            <w:tcW w:w="6088"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 belum terbentuk di Kabupaten Pelalawan</w:t>
            </w:r>
          </w:p>
        </w:tc>
      </w:tr>
      <w:tr w:rsidR="0021075D" w:rsidRPr="0021075D" w:rsidTr="0021075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BVIg2</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Sertifikat/Bukti Keikutsertaan pelatihan mediasi konflik pembagian hasil REDD+</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w:t>
            </w:r>
          </w:p>
        </w:tc>
        <w:tc>
          <w:tcPr>
            <w:tcW w:w="6088" w:type="dxa"/>
            <w:gridSpan w:val="4"/>
            <w:vMerge/>
            <w:tcBorders>
              <w:top w:val="nil"/>
              <w:left w:val="nil"/>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r>
      <w:tr w:rsidR="0021075D" w:rsidRPr="0021075D" w:rsidTr="0021075D">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BVIg3</w:t>
            </w:r>
          </w:p>
        </w:tc>
        <w:tc>
          <w:tcPr>
            <w:tcW w:w="1289"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 xml:space="preserve">Pengalaman kerja dalam medi-asi konflik pembagian hasil REDD+ </w:t>
            </w:r>
          </w:p>
        </w:tc>
        <w:tc>
          <w:tcPr>
            <w:tcW w:w="1733" w:type="dxa"/>
            <w:tcBorders>
              <w:top w:val="nil"/>
              <w:left w:val="nil"/>
              <w:bottom w:val="single" w:sz="4" w:space="0" w:color="auto"/>
              <w:right w:val="single" w:sz="4" w:space="0" w:color="auto"/>
            </w:tcBorders>
            <w:shd w:val="clear" w:color="auto" w:fill="auto"/>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061" w:type="dxa"/>
            <w:tcBorders>
              <w:top w:val="nil"/>
              <w:left w:val="nil"/>
              <w:bottom w:val="single" w:sz="4" w:space="0" w:color="auto"/>
              <w:right w:val="single" w:sz="4" w:space="0" w:color="auto"/>
            </w:tcBorders>
            <w:shd w:val="clear" w:color="000000" w:fill="F2DDDC"/>
            <w:noWrap/>
            <w:hideMark/>
          </w:tcPr>
          <w:p w:rsidR="0021075D" w:rsidRPr="0021075D" w:rsidRDefault="0021075D" w:rsidP="0021075D">
            <w:pPr>
              <w:spacing w:after="0" w:line="240" w:lineRule="auto"/>
              <w:jc w:val="center"/>
              <w:rPr>
                <w:rFonts w:ascii="Times New Roman" w:eastAsia="Times New Roman" w:hAnsi="Times New Roman" w:cs="Times New Roman"/>
                <w:color w:val="000000"/>
                <w:sz w:val="20"/>
                <w:szCs w:val="20"/>
                <w:lang w:eastAsia="id-ID"/>
              </w:rPr>
            </w:pPr>
            <w:r w:rsidRPr="0021075D">
              <w:rPr>
                <w:rFonts w:ascii="Times New Roman" w:eastAsia="Times New Roman" w:hAnsi="Times New Roman" w:cs="Times New Roman"/>
                <w:color w:val="000000"/>
                <w:sz w:val="20"/>
                <w:szCs w:val="20"/>
                <w:lang w:eastAsia="id-ID"/>
              </w:rPr>
              <w:t>Satgas REDD+</w:t>
            </w:r>
          </w:p>
        </w:tc>
        <w:tc>
          <w:tcPr>
            <w:tcW w:w="6088" w:type="dxa"/>
            <w:gridSpan w:val="4"/>
            <w:vMerge/>
            <w:tcBorders>
              <w:top w:val="nil"/>
              <w:left w:val="nil"/>
              <w:bottom w:val="single" w:sz="4" w:space="0" w:color="auto"/>
              <w:right w:val="single" w:sz="4" w:space="0" w:color="auto"/>
            </w:tcBorders>
            <w:vAlign w:val="center"/>
            <w:hideMark/>
          </w:tcPr>
          <w:p w:rsidR="0021075D" w:rsidRPr="0021075D" w:rsidRDefault="0021075D" w:rsidP="0021075D">
            <w:pPr>
              <w:spacing w:after="0" w:line="240" w:lineRule="auto"/>
              <w:rPr>
                <w:rFonts w:ascii="Times New Roman" w:eastAsia="Times New Roman" w:hAnsi="Times New Roman" w:cs="Times New Roman"/>
                <w:color w:val="000000"/>
                <w:sz w:val="20"/>
                <w:szCs w:val="20"/>
                <w:lang w:eastAsia="id-ID"/>
              </w:rPr>
            </w:pPr>
          </w:p>
        </w:tc>
      </w:tr>
    </w:tbl>
    <w:p w:rsidR="0021075D" w:rsidRDefault="0021075D"/>
    <w:sectPr w:rsidR="0021075D"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1075D"/>
    <w:rsid w:val="0026067C"/>
    <w:rsid w:val="00265D91"/>
    <w:rsid w:val="004165D1"/>
    <w:rsid w:val="004F1FE1"/>
    <w:rsid w:val="006E5970"/>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1">
    <w:name w:val="xl111"/>
    <w:basedOn w:val="Normal"/>
    <w:rsid w:val="0021075D"/>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12">
    <w:name w:val="xl112"/>
    <w:basedOn w:val="Normal"/>
    <w:rsid w:val="0021075D"/>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21075D"/>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1251432046">
      <w:bodyDiv w:val="1"/>
      <w:marLeft w:val="0"/>
      <w:marRight w:val="0"/>
      <w:marTop w:val="0"/>
      <w:marBottom w:val="0"/>
      <w:divBdr>
        <w:top w:val="none" w:sz="0" w:space="0" w:color="auto"/>
        <w:left w:val="none" w:sz="0" w:space="0" w:color="auto"/>
        <w:bottom w:val="none" w:sz="0" w:space="0" w:color="auto"/>
        <w:right w:val="none" w:sz="0" w:space="0" w:color="auto"/>
      </w:divBdr>
    </w:div>
    <w:div w:id="145066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15</Pages>
  <Words>5613</Words>
  <Characters>31997</Characters>
  <Application>Microsoft Office Word</Application>
  <DocSecurity>0</DocSecurity>
  <Lines>266</Lines>
  <Paragraphs>75</Paragraphs>
  <ScaleCrop>false</ScaleCrop>
  <Company/>
  <LinksUpToDate>false</LinksUpToDate>
  <CharactersWithSpaces>37535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2012-10-17T00:18:00Z</dcterms:modified>
</cp:coreProperties>
</file>